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Richardson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Norman Chen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Charles Holt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u w:val="single"/>
          <w:rtl w:val="0"/>
        </w:rPr>
        <w:t xml:space="preserve">Part 6: Final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(a)   </w:t>
        <w:tab/>
        <w:t xml:space="preserve">What did you learn from this project?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Our team learned about CPU design, specifically about CPU components, architectures and design philosophies. Learning the process of hardware design was the most important lesson. No one in our team had any experience designing computer specific hardware, and this project will help our careers in the future.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(b)   </w:t>
        <w:tab/>
        <w:t xml:space="preserve">What would you do differently next time?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One thing that we could have done is to simplify the ISA. Our ISA made our design to be more complicated than it seemed, which made testing more difficult. The debugging process took more time than desired. Another thing we could have done is to do a better job to arrange the instruction words to minimize hardware.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(c)    </w:t>
        <w:tab/>
        <w:t xml:space="preserve">What is your advice to someone who is going to work on a similar project?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Some good advice to the even out equal parts to all team members and to work on time management. The professor gave us plenty of time to work on each part, but we did not start till the week it was due. Also it is difficult for more than one person to be working on one computer at the same time, so be sure to assign tasks that are do-able simultaneously.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